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06" w:rsidRDefault="00C84906" w:rsidP="00C84906">
      <w:pPr>
        <w:keepNext/>
        <w:ind w:right="-852"/>
        <w:jc w:val="center"/>
        <w:outlineLvl w:val="2"/>
        <w:rPr>
          <w:b/>
          <w:noProof/>
          <w:u w:val="single"/>
        </w:rPr>
      </w:pPr>
      <w:bookmarkStart w:id="0" w:name="_GoBack"/>
      <w:bookmarkEnd w:id="0"/>
    </w:p>
    <w:p w:rsidR="00C84906" w:rsidRDefault="00C84906" w:rsidP="00C84906">
      <w:pPr>
        <w:keepNext/>
        <w:ind w:right="-852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 Nº 093 – DE 16 DE FEVEREIRO DE 2017</w:t>
      </w: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  <w:u w:val="single"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CONCEDE A SERVIDORA TANIA REGINA DA SILVA– MATRÍCULA 9115-5 - TITULAR DO CARGO DE ORIENTADOR EDUCACIONAL 31 PGR 25H - DO QUADRO PERMANENTE AO ENQUADRAMENTO POR TEMPO DE SERVIÇO NO NÍVEL A QUE FAZ JUZ E DÁ OUTRAS PROVIDÊNCIAS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noProof/>
        </w:rPr>
      </w:pPr>
      <w:r>
        <w:rPr>
          <w:b/>
          <w:noProof/>
        </w:rPr>
        <w:t xml:space="preserve">                                 O PREFEITO MUNICIPAL DE ARARUAMA,</w:t>
      </w:r>
      <w:r>
        <w:rPr>
          <w:noProof/>
        </w:rPr>
        <w:t xml:space="preserve"> no uso de suas atribuições e competência conferidas por Lei, considerando o que restou provado nos autos do Processo Administrativo/PMA/7.959/2014 e, em cumprimento ao disposto no Artigo 166, da Lei Orgânica do Município c/c o disposto nos Artigos 21 e 27, da Lei Complementar 015, de 30 de dezembro de 1997, </w:t>
      </w:r>
    </w:p>
    <w:p w:rsidR="00C84906" w:rsidRDefault="00C84906" w:rsidP="00C84906">
      <w:pPr>
        <w:keepNext/>
        <w:ind w:left="-284" w:right="-852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 w:firstLine="1843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4906" w:rsidRDefault="00C84906" w:rsidP="00C84906">
      <w:pPr>
        <w:keepNext/>
        <w:ind w:right="-852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right="-852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  <w:r>
        <w:rPr>
          <w:b/>
          <w:noProof/>
        </w:rPr>
        <w:t xml:space="preserve">I – CONCEDER </w:t>
      </w:r>
      <w:r>
        <w:rPr>
          <w:noProof/>
        </w:rPr>
        <w:t xml:space="preserve">a servidora </w:t>
      </w:r>
      <w:r>
        <w:rPr>
          <w:b/>
          <w:noProof/>
        </w:rPr>
        <w:t>TANIA REGINA DA SILVA</w:t>
      </w:r>
      <w:r>
        <w:rPr>
          <w:noProof/>
        </w:rPr>
        <w:t xml:space="preserve">, titular do Cargo de Orientador Educacional 31 PGR 25H, do Quadro Permanente, Matrícula 9515-5, </w:t>
      </w:r>
      <w:r>
        <w:rPr>
          <w:b/>
          <w:noProof/>
        </w:rPr>
        <w:t xml:space="preserve">ENQUADRAMENTO,  </w:t>
      </w:r>
      <w:r>
        <w:rPr>
          <w:noProof/>
        </w:rPr>
        <w:t xml:space="preserve">por </w:t>
      </w:r>
      <w:r>
        <w:rPr>
          <w:b/>
          <w:noProof/>
        </w:rPr>
        <w:t>TEMPO DE SERVIÇO</w:t>
      </w:r>
      <w:r>
        <w:rPr>
          <w:noProof/>
        </w:rPr>
        <w:t xml:space="preserve">, ao nível de </w:t>
      </w:r>
      <w:r>
        <w:rPr>
          <w:b/>
          <w:noProof/>
        </w:rPr>
        <w:t xml:space="preserve">ORIENTADOR EDUCACIONAL 38 PGR 25H, </w:t>
      </w:r>
      <w:r>
        <w:rPr>
          <w:noProof/>
        </w:rPr>
        <w:t>a contar retroativamente a data de 03 de maio de 2010.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 xml:space="preserve">à SEADM – Secretaria Municipal de Administração, através de seu órgão próprio, que promova as anotações na ficha cadastral da servidoras beneficiária.  </w:t>
      </w:r>
      <w:r>
        <w:rPr>
          <w:b/>
          <w:noProof/>
        </w:rPr>
        <w:t xml:space="preserve">    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disposições em contrário.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>Gabinete do Prefeito, 16 de fevereiro de 2017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right="-852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C84906" w:rsidRPr="00C84906" w:rsidRDefault="00C84906" w:rsidP="00C84906">
      <w:pPr>
        <w:keepNext/>
        <w:ind w:left="-284" w:right="-852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</w:rPr>
      </w:pPr>
    </w:p>
    <w:p w:rsidR="00705B31" w:rsidRPr="00705B31" w:rsidRDefault="00705B31" w:rsidP="00C84906">
      <w:pPr>
        <w:ind w:left="-284" w:right="-852"/>
        <w:jc w:val="both"/>
        <w:rPr>
          <w:szCs w:val="24"/>
        </w:rPr>
      </w:pPr>
    </w:p>
    <w:sectPr w:rsidR="00705B31" w:rsidRPr="00705B3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E3" w:rsidRDefault="003946E3" w:rsidP="003620ED">
      <w:r>
        <w:separator/>
      </w:r>
    </w:p>
  </w:endnote>
  <w:endnote w:type="continuationSeparator" w:id="0">
    <w:p w:rsidR="003946E3" w:rsidRDefault="003946E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E3" w:rsidRDefault="003946E3" w:rsidP="003620ED">
      <w:r>
        <w:separator/>
      </w:r>
    </w:p>
  </w:footnote>
  <w:footnote w:type="continuationSeparator" w:id="0">
    <w:p w:rsidR="003946E3" w:rsidRDefault="003946E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4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4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207808"/>
    <w:rsid w:val="00294D49"/>
    <w:rsid w:val="00351568"/>
    <w:rsid w:val="003620ED"/>
    <w:rsid w:val="003832A5"/>
    <w:rsid w:val="003946E3"/>
    <w:rsid w:val="00426029"/>
    <w:rsid w:val="004E099E"/>
    <w:rsid w:val="00567031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5B99"/>
    <w:rsid w:val="00783C3B"/>
    <w:rsid w:val="007D05B0"/>
    <w:rsid w:val="007F1241"/>
    <w:rsid w:val="00821DB7"/>
    <w:rsid w:val="00846AC1"/>
    <w:rsid w:val="008C43D3"/>
    <w:rsid w:val="00944565"/>
    <w:rsid w:val="009E355A"/>
    <w:rsid w:val="00A152F7"/>
    <w:rsid w:val="00A76D87"/>
    <w:rsid w:val="00A87F89"/>
    <w:rsid w:val="00A97240"/>
    <w:rsid w:val="00B47816"/>
    <w:rsid w:val="00C607CD"/>
    <w:rsid w:val="00C84906"/>
    <w:rsid w:val="00D60469"/>
    <w:rsid w:val="00D95A60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DC93492-59A0-4441-A1C4-39DFD07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2018-10-09T16:13:00Z</dcterms:created>
  <dcterms:modified xsi:type="dcterms:W3CDTF">2018-10-09T16:13:00Z</dcterms:modified>
</cp:coreProperties>
</file>